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BE" w:rsidRDefault="005300BE" w:rsidP="005300BE">
      <w:pPr>
        <w:ind w:left="-709" w:right="-766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shd w:val="clear" w:color="auto" w:fill="FFFFFF"/>
        </w:rPr>
      </w:pPr>
      <w:r w:rsidRPr="005300BE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shd w:val="clear" w:color="auto" w:fill="FFFFFF"/>
        </w:rPr>
        <w:t>Table 1 – Framework of item flaws and their potential effect</w:t>
      </w:r>
    </w:p>
    <w:p w:rsidR="005300BE" w:rsidRDefault="005300BE" w:rsidP="005300BE">
      <w:pPr>
        <w:ind w:left="-709"/>
      </w:pPr>
    </w:p>
    <w:tbl>
      <w:tblPr>
        <w:tblStyle w:val="LightGrid"/>
        <w:tblW w:w="9298" w:type="dxa"/>
        <w:tblLook w:val="04A0" w:firstRow="1" w:lastRow="0" w:firstColumn="1" w:lastColumn="0" w:noHBand="0" w:noVBand="1"/>
      </w:tblPr>
      <w:tblGrid>
        <w:gridCol w:w="4649"/>
        <w:gridCol w:w="122"/>
        <w:gridCol w:w="4527"/>
      </w:tblGrid>
      <w:tr w:rsidR="005300BE" w:rsidTr="00530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</w:tcPr>
          <w:p w:rsidR="005300BE" w:rsidRPr="005300BE" w:rsidRDefault="005300BE" w:rsidP="005300BE">
            <w:pPr>
              <w:rPr>
                <w:rFonts w:ascii="Helvetica Neue" w:eastAsia="Times New Roman" w:hAnsi="Helvetica Neue" w:cs="Times New Roman"/>
                <w:color w:val="000000"/>
                <w:sz w:val="30"/>
                <w:szCs w:val="30"/>
              </w:rPr>
            </w:pPr>
            <w:r w:rsidRPr="005300BE">
              <w:rPr>
                <w:rFonts w:ascii="Helvetica Neue" w:eastAsia="Times New Roman" w:hAnsi="Helvetica Neue" w:cs="Times New Roman"/>
                <w:color w:val="000000"/>
                <w:sz w:val="30"/>
                <w:szCs w:val="30"/>
              </w:rPr>
              <w:t>Technical item flaws or unadvisable formats</w:t>
            </w:r>
          </w:p>
          <w:p w:rsidR="005300BE" w:rsidRPr="005300BE" w:rsidRDefault="005300BE" w:rsidP="005300BE">
            <w:pPr>
              <w:tabs>
                <w:tab w:val="left" w:pos="3540"/>
              </w:tabs>
            </w:pPr>
            <w:r>
              <w:tab/>
            </w:r>
          </w:p>
        </w:tc>
        <w:tc>
          <w:tcPr>
            <w:tcW w:w="4527" w:type="dxa"/>
          </w:tcPr>
          <w:p w:rsidR="005300BE" w:rsidRPr="005300BE" w:rsidRDefault="005300BE" w:rsidP="00530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0BE">
              <w:rPr>
                <w:rFonts w:ascii="Helvetica Neue" w:eastAsia="Times New Roman" w:hAnsi="Helvetica Neue" w:cs="Times New Roman"/>
                <w:color w:val="000000"/>
                <w:sz w:val="30"/>
                <w:szCs w:val="30"/>
                <w:shd w:val="clear" w:color="auto" w:fill="FFFFFF"/>
              </w:rPr>
              <w:t>Potential effect</w:t>
            </w:r>
          </w:p>
          <w:p w:rsidR="005300BE" w:rsidRDefault="005300BE" w:rsidP="00530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0BE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5300BE" w:rsidRPr="005300BE" w:rsidRDefault="005300BE" w:rsidP="001678D8">
            <w:pPr>
              <w:jc w:val="center"/>
              <w:rPr>
                <w:rFonts w:ascii="Helvetica Neue" w:hAnsi="Helvetica Neue"/>
                <w:sz w:val="30"/>
                <w:szCs w:val="30"/>
              </w:rPr>
            </w:pPr>
            <w:r w:rsidRPr="005300BE">
              <w:rPr>
                <w:rFonts w:ascii="Helvetica Neue" w:hAnsi="Helvetica Neue"/>
                <w:sz w:val="30"/>
                <w:szCs w:val="30"/>
              </w:rPr>
              <w:t>Outmoded item formats</w:t>
            </w:r>
          </w:p>
        </w:tc>
      </w:tr>
      <w:tr w:rsidR="005300BE" w:rsidTr="00530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0BE" w:rsidRPr="005300BE" w:rsidRDefault="005300BE" w:rsidP="005300BE">
            <w:pPr>
              <w:jc w:val="center"/>
              <w:rPr>
                <w:rFonts w:ascii="Helvetica Neue" w:hAnsi="Helvetica Neue"/>
                <w:sz w:val="28"/>
                <w:szCs w:val="28"/>
              </w:rPr>
            </w:pPr>
            <w:r w:rsidRPr="005300BE">
              <w:rPr>
                <w:rFonts w:ascii="Helvetica Neue" w:hAnsi="Helvetica Neue"/>
                <w:sz w:val="28"/>
                <w:szCs w:val="28"/>
              </w:rPr>
              <w:t>True/False Format</w:t>
            </w:r>
          </w:p>
        </w:tc>
        <w:tc>
          <w:tcPr>
            <w:tcW w:w="4527" w:type="dxa"/>
          </w:tcPr>
          <w:p w:rsidR="005300BE" w:rsidRP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00BE">
              <w:rPr>
                <w:rFonts w:ascii="Helvetica Neue" w:eastAsia="Times New Roman" w:hAnsi="Helvetica Neue" w:cs="Times New Roman"/>
                <w:b/>
                <w:color w:val="000000"/>
                <w:sz w:val="30"/>
                <w:szCs w:val="30"/>
                <w:shd w:val="clear" w:color="auto" w:fill="FFFFFF"/>
              </w:rPr>
              <w:t>True-false questions require that examinees decide if a statement is true or false – at times a difficult decision, in a world where absolutes are rare. In addition, the examinee may also have to make a value judgment as to what </w:t>
            </w:r>
            <w:r w:rsidRPr="005300BE">
              <w:rPr>
                <w:rFonts w:ascii="Helvetica Neue" w:eastAsia="Times New Roman" w:hAnsi="Helvetica Neue" w:cs="Times New Roman"/>
                <w:b/>
                <w:i/>
                <w:iCs/>
                <w:color w:val="000000"/>
                <w:sz w:val="30"/>
                <w:szCs w:val="30"/>
                <w:shd w:val="clear" w:color="auto" w:fill="FFFFFF"/>
              </w:rPr>
              <w:t>extent or degree</w:t>
            </w:r>
            <w:r w:rsidRPr="005300BE">
              <w:rPr>
                <w:rFonts w:ascii="Helvetica Neue" w:eastAsia="Times New Roman" w:hAnsi="Helvetica Neue" w:cs="Times New Roman"/>
                <w:b/>
                <w:color w:val="000000"/>
                <w:sz w:val="30"/>
                <w:szCs w:val="30"/>
                <w:shd w:val="clear" w:color="auto" w:fill="FFFFFF"/>
              </w:rPr>
              <w:t> an option is correct; this may be straightforward, or may involve also trying to anticipate what the examiner had in mind when phrasing the question. (Case &amp; Swanson, </w:t>
            </w:r>
            <w:hyperlink r:id="rId6" w:anchor="CR10" w:history="1">
              <w:r w:rsidRPr="005300BE">
                <w:rPr>
                  <w:rFonts w:ascii="Helvetica Neue" w:eastAsia="Times New Roman" w:hAnsi="Helvetica Neue" w:cs="Times New Roman"/>
                  <w:b/>
                  <w:color w:val="DE00A5"/>
                  <w:sz w:val="30"/>
                  <w:szCs w:val="30"/>
                  <w:u w:val="single"/>
                  <w:shd w:val="clear" w:color="auto" w:fill="FFFFFF"/>
                </w:rPr>
                <w:t>2002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color w:val="000000"/>
                <w:sz w:val="30"/>
                <w:szCs w:val="30"/>
                <w:shd w:val="clear" w:color="auto" w:fill="FFFFFF"/>
              </w:rPr>
              <w:t>, Tarrant et al., </w:t>
            </w:r>
            <w:hyperlink r:id="rId7" w:anchor="CR43" w:history="1">
              <w:r w:rsidRPr="005300BE">
                <w:rPr>
                  <w:rFonts w:ascii="Helvetica Neue" w:eastAsia="Times New Roman" w:hAnsi="Helvetica Neue" w:cs="Times New Roman"/>
                  <w:b/>
                  <w:color w:val="DE00A5"/>
                  <w:sz w:val="30"/>
                  <w:szCs w:val="30"/>
                  <w:u w:val="single"/>
                  <w:shd w:val="clear" w:color="auto" w:fill="FFFFFF"/>
                </w:rPr>
                <w:t>2006a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color w:val="000000"/>
                <w:sz w:val="30"/>
                <w:szCs w:val="30"/>
                <w:shd w:val="clear" w:color="auto" w:fill="FFFFFF"/>
              </w:rPr>
              <w:t>, </w:t>
            </w:r>
            <w:hyperlink r:id="rId8" w:anchor="CR44" w:history="1">
              <w:r w:rsidRPr="005300BE">
                <w:rPr>
                  <w:rFonts w:ascii="Helvetica Neue" w:eastAsia="Times New Roman" w:hAnsi="Helvetica Neue" w:cs="Times New Roman"/>
                  <w:b/>
                  <w:color w:val="DE00A5"/>
                  <w:sz w:val="30"/>
                  <w:szCs w:val="30"/>
                  <w:u w:val="single"/>
                  <w:shd w:val="clear" w:color="auto" w:fill="FFFFFF"/>
                </w:rPr>
                <w:t>2006b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color w:val="000000"/>
                <w:sz w:val="30"/>
                <w:szCs w:val="30"/>
                <w:shd w:val="clear" w:color="auto" w:fill="FFFFFF"/>
              </w:rPr>
              <w:t>)</w:t>
            </w:r>
          </w:p>
          <w:p w:rsid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300BE" w:rsidTr="00530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</w:rPr>
            </w:pPr>
          </w:p>
          <w:p w:rsidR="005300BE" w:rsidRP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0BE">
              <w:rPr>
                <w:rFonts w:ascii="Helvetica Neue" w:eastAsia="Times New Roman" w:hAnsi="Helvetica Neue" w:cs="Times New Roman"/>
                <w:sz w:val="28"/>
                <w:szCs w:val="28"/>
              </w:rPr>
              <w:t>Overly complex, or K-type, questions; e.g. choose option A if statements 1 and 2 are correct, choose option B if statements 1 and 3 are correct etc.</w:t>
            </w:r>
          </w:p>
          <w:p w:rsidR="005300BE" w:rsidRDefault="005300BE" w:rsidP="005300BE">
            <w:pPr>
              <w:jc w:val="center"/>
            </w:pPr>
          </w:p>
        </w:tc>
        <w:tc>
          <w:tcPr>
            <w:tcW w:w="4527" w:type="dxa"/>
          </w:tcPr>
          <w:p w:rsidR="005300BE" w:rsidRPr="005300BE" w:rsidRDefault="005300BE" w:rsidP="00530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</w:pPr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This format introduces unnecessary complexity to the </w:t>
            </w:r>
            <w:proofErr w:type="gramStart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format,</w:t>
            </w:r>
            <w:proofErr w:type="gramEnd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 increasing reading time, </w:t>
            </w:r>
            <w:r w:rsidRPr="005300BE">
              <w:rPr>
                <w:rFonts w:ascii="Helvetica Neue" w:eastAsia="Times New Roman" w:hAnsi="Helvetica Neue" w:cs="Times New Roman"/>
                <w:b/>
                <w:i/>
                <w:iCs/>
                <w:sz w:val="30"/>
                <w:szCs w:val="30"/>
              </w:rPr>
              <w:t>construct irrelevant variance</w:t>
            </w:r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and reducing validity. (Case &amp; Swanson, </w:t>
            </w:r>
            <w:hyperlink r:id="rId9" w:anchor="CR10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Downing, </w:t>
            </w:r>
            <w:hyperlink r:id="rId10" w:anchor="CR19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2002a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 </w:t>
            </w:r>
            <w:hyperlink r:id="rId11" w:anchor="CR20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2002b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Jozefowicz</w:t>
            </w:r>
            <w:proofErr w:type="spellEnd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 et al., </w:t>
            </w:r>
            <w:hyperlink r:id="rId12" w:anchor="CR27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Haladyna</w:t>
            </w:r>
            <w:proofErr w:type="spellEnd"/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 et al., </w:t>
            </w:r>
            <w:hyperlink r:id="rId13" w:anchor="CR25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Tarrant et al., </w:t>
            </w:r>
            <w:hyperlink r:id="rId14" w:anchor="CR43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2006a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 </w:t>
            </w:r>
            <w:hyperlink r:id="rId15" w:anchor="CR44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2006b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)</w:t>
            </w:r>
          </w:p>
          <w:p w:rsidR="005300BE" w:rsidRDefault="005300BE" w:rsidP="00530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0BE" w:rsidTr="0053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0BE" w:rsidRPr="005300BE" w:rsidRDefault="005300BE" w:rsidP="005300BE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0BE">
              <w:rPr>
                <w:rFonts w:ascii="Helvetica Neue" w:eastAsia="Times New Roman" w:hAnsi="Helvetica Neue" w:cs="Times New Roman"/>
                <w:sz w:val="28"/>
                <w:szCs w:val="28"/>
              </w:rPr>
              <w:t>Fill in the blank</w:t>
            </w:r>
          </w:p>
          <w:p w:rsidR="005300BE" w:rsidRPr="005300BE" w:rsidRDefault="005300BE" w:rsidP="005300BE">
            <w:pPr>
              <w:tabs>
                <w:tab w:val="left" w:pos="1680"/>
              </w:tabs>
              <w:jc w:val="center"/>
              <w:rPr>
                <w:rFonts w:ascii="Helvetica Neue" w:hAnsi="Helvetica Neue"/>
                <w:sz w:val="28"/>
                <w:szCs w:val="28"/>
              </w:rPr>
            </w:pPr>
          </w:p>
        </w:tc>
        <w:tc>
          <w:tcPr>
            <w:tcW w:w="4527" w:type="dxa"/>
          </w:tcPr>
          <w:p w:rsid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</w:pPr>
          </w:p>
          <w:p w:rsid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</w:pPr>
          </w:p>
          <w:p w:rsidR="005300BE" w:rsidRP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</w:pPr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These questions may be linguistically difficult to write, without giving grammatical clues to the examinee, and so are best avoided. (Downing, </w:t>
            </w:r>
            <w:hyperlink r:id="rId16" w:anchor="CR19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2002a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 </w:t>
            </w:r>
            <w:hyperlink r:id="rId17" w:anchor="CR20" w:history="1">
              <w:r w:rsidRPr="005300BE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2002b</w:t>
              </w:r>
            </w:hyperlink>
            <w:r w:rsidRPr="005300BE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)</w:t>
            </w:r>
          </w:p>
          <w:p w:rsid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2550" w:rsidTr="003F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3"/>
          </w:tcPr>
          <w:p w:rsidR="003F2550" w:rsidRDefault="003F2550" w:rsidP="003F25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550" w:rsidRPr="003F2550" w:rsidRDefault="003F2550" w:rsidP="003F2550">
            <w:pPr>
              <w:jc w:val="center"/>
              <w:rPr>
                <w:rFonts w:ascii="Helvetica Neue" w:eastAsia="Times New Roman" w:hAnsi="Helvetica Neue" w:cs="Times New Roman"/>
                <w:sz w:val="30"/>
                <w:szCs w:val="30"/>
              </w:rPr>
            </w:pPr>
            <w:r w:rsidRPr="003F2550">
              <w:rPr>
                <w:rFonts w:ascii="Helvetica Neue" w:eastAsia="Times New Roman" w:hAnsi="Helvetica Neue" w:cs="Times New Roman"/>
                <w:sz w:val="30"/>
                <w:szCs w:val="30"/>
              </w:rPr>
              <w:t>Question ambiguity or obscurity</w:t>
            </w:r>
          </w:p>
          <w:p w:rsidR="003F2550" w:rsidRDefault="003F2550" w:rsidP="005300BE"/>
        </w:tc>
      </w:tr>
      <w:tr w:rsidR="005300BE" w:rsidTr="003F2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3F2550" w:rsidRDefault="003F2550" w:rsidP="003F2550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3F2550" w:rsidRPr="003F2550" w:rsidRDefault="003F2550" w:rsidP="003F2550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3F2550">
              <w:rPr>
                <w:rFonts w:ascii="Helvetica Neue" w:eastAsia="Times New Roman" w:hAnsi="Helvetica Neue" w:cs="Times New Roman"/>
                <w:sz w:val="28"/>
                <w:szCs w:val="28"/>
              </w:rPr>
              <w:t>Gratuitous information in stem</w:t>
            </w:r>
          </w:p>
          <w:p w:rsidR="005300BE" w:rsidRDefault="005300BE" w:rsidP="005300BE"/>
        </w:tc>
        <w:tc>
          <w:tcPr>
            <w:tcW w:w="4527" w:type="dxa"/>
            <w:vAlign w:val="center"/>
          </w:tcPr>
          <w:p w:rsidR="003F2550" w:rsidRDefault="003F2550" w:rsidP="003F2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550" w:rsidRPr="003F2550" w:rsidRDefault="003F2550" w:rsidP="003F2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</w:pPr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Inclusion of irrelevant information introduces unnecessary complexity to the </w:t>
            </w:r>
            <w:proofErr w:type="gramStart"/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format,</w:t>
            </w:r>
            <w:proofErr w:type="gramEnd"/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 xml:space="preserve"> increasing reading time, </w:t>
            </w:r>
            <w:r w:rsidRPr="003F2550">
              <w:rPr>
                <w:rFonts w:ascii="Helvetica Neue" w:eastAsia="Times New Roman" w:hAnsi="Helvetica Neue" w:cs="Times New Roman"/>
                <w:b/>
                <w:i/>
                <w:iCs/>
                <w:sz w:val="30"/>
                <w:szCs w:val="30"/>
              </w:rPr>
              <w:t>construct irrelevant variance</w:t>
            </w:r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and reducing validity. Stems should be focussed, and only information relevant to answering the question should be included. (Case &amp; Swanson, </w:t>
            </w:r>
            <w:hyperlink r:id="rId18" w:anchor="CR10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Downing, </w:t>
            </w:r>
            <w:hyperlink r:id="rId19" w:anchor="CR19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2002a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 </w:t>
            </w:r>
            <w:hyperlink r:id="rId20" w:anchor="CR20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2002</w:t>
              </w:r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b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 Tarrant et al., </w:t>
            </w:r>
            <w:hyperlink r:id="rId21" w:anchor="CR43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2006a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, </w:t>
            </w:r>
            <w:hyperlink r:id="rId22" w:anchor="CR44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30"/>
                  <w:szCs w:val="30"/>
                  <w:u w:val="single"/>
                </w:rPr>
                <w:t>2006b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30"/>
                <w:szCs w:val="30"/>
              </w:rPr>
              <w:t>)</w:t>
            </w:r>
          </w:p>
          <w:p w:rsidR="005300BE" w:rsidRDefault="005300BE" w:rsidP="00530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300BE" w:rsidTr="003F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3F2550" w:rsidRDefault="003F2550" w:rsidP="003F25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2550" w:rsidRPr="003F2550" w:rsidRDefault="003F2550" w:rsidP="003F2550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3F2550">
              <w:rPr>
                <w:rFonts w:ascii="Helvetica Neue" w:eastAsia="Times New Roman" w:hAnsi="Helvetica Neue" w:cs="Times New Roman"/>
                <w:sz w:val="28"/>
                <w:szCs w:val="28"/>
              </w:rPr>
              <w:t>Ambiguous or unclear information</w:t>
            </w:r>
          </w:p>
          <w:p w:rsidR="005300BE" w:rsidRDefault="005300BE" w:rsidP="005300BE"/>
        </w:tc>
        <w:tc>
          <w:tcPr>
            <w:tcW w:w="4527" w:type="dxa"/>
          </w:tcPr>
          <w:p w:rsidR="003F2550" w:rsidRDefault="003F2550" w:rsidP="003F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3F2550" w:rsidRPr="003F2550" w:rsidRDefault="003F2550" w:rsidP="003F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3F2550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Poorly worded questions can confuse examinees, even those of high ability, and are particularly problematic for non-native speakers. (Downing, </w:t>
            </w:r>
            <w:hyperlink r:id="rId23" w:anchor="CR19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2002a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24" w:anchor="CR20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2002b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25" w:anchor="CR43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26" w:anchor="CR44" w:history="1">
              <w:r w:rsidRPr="003F2550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3F2550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300BE" w:rsidRDefault="005300BE" w:rsidP="00530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45D" w:rsidTr="0053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30"/>
                <w:szCs w:val="30"/>
              </w:rPr>
            </w:pPr>
          </w:p>
          <w:p w:rsidR="0053045D" w:rsidRDefault="0053045D" w:rsidP="0053045D">
            <w:pPr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45D" w:rsidRP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sz w:val="28"/>
                <w:szCs w:val="28"/>
              </w:rPr>
              <w:t>Unfocussed stem</w:t>
            </w:r>
          </w:p>
          <w:p w:rsidR="0053045D" w:rsidRDefault="0053045D" w:rsidP="003F25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45D" w:rsidRP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Questions should be clear and explicit, with a definitive question (</w:t>
            </w:r>
            <w:proofErr w:type="spellStart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27" w:anchor="CR25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28" w:anchor="CR43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29" w:anchor="CR44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3045D" w:rsidRDefault="0053045D" w:rsidP="003F2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53045D" w:rsidTr="003F2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3045D" w:rsidRP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sz w:val="28"/>
                <w:szCs w:val="28"/>
              </w:rPr>
              <w:t>Absolute terms</w:t>
            </w:r>
          </w:p>
          <w:p w:rsidR="0053045D" w:rsidRPr="0053045D" w:rsidRDefault="0053045D" w:rsidP="003F2550">
            <w:pPr>
              <w:rPr>
                <w:rFonts w:ascii="Helvetica Neue" w:eastAsia="Times New Roman" w:hAnsi="Helvetica Neue" w:cs="Times New Roman"/>
                <w:sz w:val="20"/>
                <w:szCs w:val="20"/>
              </w:rPr>
            </w:pPr>
          </w:p>
        </w:tc>
        <w:tc>
          <w:tcPr>
            <w:tcW w:w="4527" w:type="dxa"/>
          </w:tcPr>
          <w:p w:rsidR="0053045D" w:rsidRDefault="0053045D" w:rsidP="003F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53045D" w:rsidRDefault="0053045D" w:rsidP="00530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i/>
                <w:iCs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Elimination of options containing the words “always” and “never” greatly improves examinees’ chances of choosing the correct option by chance. In addition, even</w:t>
            </w:r>
            <w:r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supposedly absolute terms such </w:t>
            </w:r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as </w:t>
            </w:r>
            <w:r w:rsidRPr="0053045D">
              <w:rPr>
                <w:rFonts w:ascii="Helvetica Neue" w:eastAsia="Times New Roman" w:hAnsi="Helvetica Neue" w:cs="Times New Roman"/>
                <w:b/>
                <w:i/>
                <w:iCs/>
                <w:sz w:val="28"/>
                <w:szCs w:val="28"/>
              </w:rPr>
              <w:t>“always”</w:t>
            </w:r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 or </w:t>
            </w:r>
            <w:r w:rsidRPr="0053045D">
              <w:rPr>
                <w:rFonts w:ascii="Helvetica Neue" w:eastAsia="Times New Roman" w:hAnsi="Helvetica Neue" w:cs="Times New Roman"/>
                <w:b/>
                <w:i/>
                <w:iCs/>
                <w:sz w:val="28"/>
                <w:szCs w:val="28"/>
              </w:rPr>
              <w:t>“never”</w:t>
            </w:r>
          </w:p>
          <w:p w:rsidR="0053045D" w:rsidRPr="0053045D" w:rsidRDefault="0053045D" w:rsidP="00530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proofErr w:type="gramStart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may</w:t>
            </w:r>
            <w:proofErr w:type="gramEnd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be interpreted differently, and means that examinees must make a value judgment as to what the writer means by the term in this context. (</w:t>
            </w:r>
            <w:proofErr w:type="spellStart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Holsgrove</w:t>
            </w:r>
            <w:proofErr w:type="spellEnd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&amp; </w:t>
            </w:r>
            <w:proofErr w:type="spellStart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Elzubeir</w:t>
            </w:r>
            <w:proofErr w:type="spellEnd"/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30" w:anchor="CR26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1998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31" w:anchor="CR10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32" w:anchor="CR43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33" w:anchor="CR44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3045D" w:rsidRDefault="0053045D" w:rsidP="003F25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53045D" w:rsidTr="003F25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45D" w:rsidRDefault="0053045D" w:rsidP="00530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45D" w:rsidRP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sz w:val="28"/>
                <w:szCs w:val="28"/>
              </w:rPr>
              <w:t>Vague frequency terms</w:t>
            </w:r>
          </w:p>
          <w:p w:rsid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527" w:type="dxa"/>
          </w:tcPr>
          <w:p w:rsid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45D" w:rsidRPr="0053045D" w:rsidRDefault="0053045D" w:rsidP="005304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Frequency terms are interpreted very differently by individuals, and their use means that examinees must make a value judgment as to what the writer means by a given frequency term in an individual question context. (Case, </w:t>
            </w:r>
            <w:hyperlink r:id="rId34" w:anchor="CR9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1994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35" w:anchor="CR10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36" w:anchor="CR43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37" w:anchor="CR44" w:history="1">
              <w:r w:rsidRPr="0053045D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3045D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3045D" w:rsidRDefault="0053045D" w:rsidP="003F25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53045D" w:rsidTr="0053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gridSpan w:val="2"/>
            <w:vAlign w:val="center"/>
          </w:tcPr>
          <w:p w:rsidR="0053045D" w:rsidRDefault="0053045D" w:rsidP="00530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045D" w:rsidRPr="0053045D" w:rsidRDefault="0053045D" w:rsidP="0053045D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3045D">
              <w:rPr>
                <w:rFonts w:ascii="Helvetica Neue" w:eastAsia="Times New Roman" w:hAnsi="Helvetica Neue" w:cs="Times New Roman"/>
                <w:sz w:val="28"/>
                <w:szCs w:val="28"/>
              </w:rPr>
              <w:t>Negatively worded stem</w:t>
            </w:r>
          </w:p>
          <w:p w:rsidR="0053045D" w:rsidRDefault="0053045D" w:rsidP="00530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7" w:type="dxa"/>
          </w:tcPr>
          <w:p w:rsidR="0053045D" w:rsidRDefault="0053045D" w:rsidP="00530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678D8" w:rsidRP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Some</w:t>
            </w:r>
            <w:r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writers advocate that negative </w:t>
            </w: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stems </w:t>
            </w:r>
            <w:r w:rsidRPr="001678D8">
              <w:rPr>
                <w:rFonts w:ascii="Helvetica Neue" w:eastAsia="Times New Roman" w:hAnsi="Helvetica Neue" w:cs="Times New Roman"/>
                <w:b/>
                <w:i/>
                <w:iCs/>
                <w:sz w:val="28"/>
                <w:szCs w:val="28"/>
              </w:rPr>
              <w:t>may</w:t>
            </w: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 occasionally be used, so long as care is taken to phrase them simply and unambiguously. Others hold that high-quality negative MCQs are difficult to write well, and that </w:t>
            </w:r>
            <w:proofErr w:type="gramStart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their</w:t>
            </w:r>
            <w:proofErr w:type="gramEnd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inclusion among otherwise positively-phrased questions may be confusing for examinees. (</w:t>
            </w:r>
            <w:proofErr w:type="spellStart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38" w:anchor="CR25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Jozefowicz</w:t>
            </w:r>
            <w:proofErr w:type="spellEnd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39" w:anchor="CR27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40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41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42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3045D" w:rsidRDefault="0053045D" w:rsidP="00530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8D8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30"/>
                <w:szCs w:val="30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30"/>
                <w:szCs w:val="30"/>
              </w:rPr>
            </w:pPr>
            <w:r w:rsidRPr="001678D8">
              <w:rPr>
                <w:rFonts w:ascii="Helvetica Neue" w:eastAsia="Times New Roman" w:hAnsi="Helvetica Neue" w:cs="Times New Roman"/>
                <w:sz w:val="30"/>
                <w:szCs w:val="30"/>
              </w:rPr>
              <w:t>Structural or logical flaws</w:t>
            </w:r>
          </w:p>
          <w:p w:rsidR="001678D8" w:rsidRDefault="001678D8" w:rsidP="005304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78D8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Problem is in the options not in the stem</w:t>
            </w:r>
          </w:p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The problem or question of the MCQ should be in the stem, not within the options. Inclusion of the problems within the options instead reduces the format to a true / false, or even a K-type complex format, with all the problems inherent within (above). (</w:t>
            </w:r>
            <w:proofErr w:type="spellStart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43" w:anchor="CR25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44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45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46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sz w:val="30"/>
                <w:szCs w:val="30"/>
              </w:rPr>
            </w:pPr>
          </w:p>
        </w:tc>
      </w:tr>
      <w:tr w:rsidR="001678D8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Logical cues in stem &amp; correct option</w:t>
            </w:r>
          </w:p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Logical cues (grammatical or numerical) in the stem and options may enable examinees to guess the correct option without any content knowledge. (Case &amp; Swanson, </w:t>
            </w:r>
            <w:hyperlink r:id="rId47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48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49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1678D8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Word repeats in stem &amp; correct answer</w:t>
            </w: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Similar wording in the stem and options enables examinees to guess the correct option without any content knowledge. (Case &amp; Swanson, </w:t>
            </w:r>
            <w:hyperlink r:id="rId50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Downing, </w:t>
            </w:r>
            <w:hyperlink r:id="rId51" w:anchor="CR19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52" w:anchor="CR2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53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54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P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1678D8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Longest option is correct</w:t>
            </w: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Writers often have an inherent bias to take extreme care in making the correct option with exact information and precise grammar, increasing the length; examinees may guess the correct option by assuming that the correct option is also the longest. (Case &amp; Swanson, </w:t>
            </w:r>
            <w:hyperlink r:id="rId55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Downing, </w:t>
            </w:r>
            <w:hyperlink r:id="rId56" w:anchor="CR19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57" w:anchor="CR2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58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59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1678D8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Implausible distractors</w:t>
            </w:r>
          </w:p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Elimination of implausible distractors greatly improves examinees’ chances of choosing the correct option by chance. (Case &amp; Swanson, </w:t>
            </w:r>
            <w:hyperlink r:id="rId60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61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62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1678D8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1678D8" w:rsidRP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sz w:val="28"/>
                <w:szCs w:val="28"/>
              </w:rPr>
              <w:t>More than one, or no correct answer</w:t>
            </w:r>
          </w:p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1678D8" w:rsidRP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A move away from the </w:t>
            </w:r>
            <w:r w:rsidRPr="001678D8">
              <w:rPr>
                <w:rFonts w:ascii="Helvetica Neue" w:eastAsia="Times New Roman" w:hAnsi="Helvetica Neue" w:cs="Times New Roman"/>
                <w:b/>
                <w:bCs/>
                <w:i/>
                <w:iCs/>
                <w:sz w:val="28"/>
                <w:szCs w:val="28"/>
              </w:rPr>
              <w:t>one-best-answer</w:t>
            </w:r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 approach instead reduces the format to a true / false, or even a K-type complex format, with all the problems inherent within (above). (</w:t>
            </w:r>
            <w:proofErr w:type="spellStart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63" w:anchor="CR25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64" w:anchor="CR10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65" w:anchor="CR43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66" w:anchor="CR44" w:history="1">
              <w:r w:rsidRPr="001678D8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1678D8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1678D8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8504A" w:rsidRP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sz w:val="28"/>
                <w:szCs w:val="28"/>
              </w:rPr>
              <w:t>Use of all of the above</w:t>
            </w:r>
          </w:p>
          <w:p w:rsidR="001678D8" w:rsidRDefault="001678D8" w:rsidP="001678D8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58504A" w:rsidRDefault="0058504A" w:rsidP="0058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58504A" w:rsidRPr="0058504A" w:rsidRDefault="0058504A" w:rsidP="0058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The use of “all of the above” means that students may correctly eliminate this option by identifying at least one other response as being incorrect. (</w:t>
            </w:r>
            <w:proofErr w:type="spellStart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67" w:anchor="CR25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68" w:anchor="CR43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69" w:anchor="CR44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1678D8" w:rsidRDefault="001678D8" w:rsidP="00167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58504A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8504A" w:rsidRP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sz w:val="28"/>
                <w:szCs w:val="28"/>
              </w:rPr>
              <w:t>Use of none of the above</w:t>
            </w:r>
          </w:p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504A" w:rsidRP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The use of “none of the above” means that students may correctly eliminate this option by identifying at least one other response as being correct. (</w:t>
            </w:r>
            <w:proofErr w:type="spellStart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Haladyna</w:t>
            </w:r>
            <w:proofErr w:type="spellEnd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70" w:anchor="CR25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Pachai</w:t>
            </w:r>
            <w:proofErr w:type="spellEnd"/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 xml:space="preserve"> et al., </w:t>
            </w:r>
            <w:hyperlink r:id="rId71" w:anchor="CR32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2015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Case &amp; Swanson, </w:t>
            </w:r>
            <w:hyperlink r:id="rId72" w:anchor="CR10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73" w:anchor="CR43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74" w:anchor="CR44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  <w:tr w:rsidR="0058504A" w:rsidTr="0016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8504A" w:rsidRP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sz w:val="28"/>
                <w:szCs w:val="28"/>
              </w:rPr>
              <w:t>Option order / position of the correct option</w:t>
            </w:r>
          </w:p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58504A" w:rsidRDefault="0058504A" w:rsidP="0058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58504A" w:rsidRPr="0058504A" w:rsidRDefault="0058504A" w:rsidP="0058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Listing options in a consistent order on printed examination papers avoids bias on the part of the examiner towards edge aversion, i.e. a reluctance to place the correct option in the first or last positions. In a five option MCQ, this may result in option C being correct more often than would be expected by chance. Online examinations may be programmable to randomise option order, and so avoid this issue. (Case, </w:t>
            </w:r>
            <w:hyperlink r:id="rId75" w:anchor="CR9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1994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76" w:anchor="CR43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77" w:anchor="CR44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</w:t>
            </w:r>
          </w:p>
          <w:p w:rsidR="0058504A" w:rsidRDefault="0058504A" w:rsidP="00585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504A" w:rsidTr="00167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  <w:vAlign w:val="center"/>
          </w:tcPr>
          <w:p w:rsid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  <w:p w:rsidR="0058504A" w:rsidRP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sz w:val="28"/>
                <w:szCs w:val="28"/>
              </w:rPr>
              <w:t>Convergence cues</w:t>
            </w:r>
          </w:p>
          <w:p w:rsidR="0058504A" w:rsidRPr="0058504A" w:rsidRDefault="0058504A" w:rsidP="0058504A">
            <w:pPr>
              <w:jc w:val="center"/>
              <w:rPr>
                <w:rFonts w:ascii="Helvetica Neue" w:eastAsia="Times New Roman" w:hAnsi="Helvetica Neue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  <w:p w:rsidR="0058504A" w:rsidRP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Writers often have an inherent bias to write distracters derived from the correct option, altering minor words or components; examinees may guess the correct option by choosing the one in which most option components appear together (Case &amp; Swanson, </w:t>
            </w:r>
            <w:hyperlink r:id="rId78" w:anchor="CR10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2002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 Tarrant et al., </w:t>
            </w:r>
            <w:hyperlink r:id="rId79" w:anchor="CR43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2006a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, </w:t>
            </w:r>
            <w:hyperlink r:id="rId80" w:anchor="CR44" w:history="1">
              <w:r w:rsidRPr="0058504A">
                <w:rPr>
                  <w:rFonts w:ascii="Helvetica Neue" w:eastAsia="Times New Roman" w:hAnsi="Helvetica Neue" w:cs="Times New Roman"/>
                  <w:b/>
                  <w:color w:val="0000FF"/>
                  <w:sz w:val="28"/>
                  <w:szCs w:val="28"/>
                  <w:u w:val="single"/>
                </w:rPr>
                <w:t>2006b</w:t>
              </w:r>
            </w:hyperlink>
            <w:r w:rsidRPr="0058504A"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  <w:t>).</w:t>
            </w:r>
          </w:p>
          <w:p w:rsidR="0058504A" w:rsidRDefault="0058504A" w:rsidP="005850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sz w:val="28"/>
                <w:szCs w:val="28"/>
              </w:rPr>
            </w:pPr>
          </w:p>
        </w:tc>
      </w:tr>
    </w:tbl>
    <w:p w:rsidR="005300BE" w:rsidRDefault="005300BE" w:rsidP="005300BE">
      <w:pPr>
        <w:ind w:left="-709"/>
      </w:pPr>
    </w:p>
    <w:p w:rsidR="0058504A" w:rsidRPr="0058504A" w:rsidRDefault="0058504A" w:rsidP="0058504A">
      <w:pPr>
        <w:pStyle w:val="NormalWeb"/>
        <w:rPr>
          <w:rFonts w:ascii="Helvetica Neue" w:hAnsi="Helvetica Neue"/>
          <w:sz w:val="28"/>
          <w:szCs w:val="28"/>
        </w:rPr>
      </w:pPr>
      <w:r w:rsidRPr="0058504A">
        <w:rPr>
          <w:rStyle w:val="Strong"/>
          <w:rFonts w:ascii="Helvetica Neue" w:hAnsi="Helvetica Neue"/>
          <w:sz w:val="28"/>
          <w:szCs w:val="28"/>
        </w:rPr>
        <w:t>References</w:t>
      </w:r>
    </w:p>
    <w:p w:rsidR="0058504A" w:rsidRPr="0058504A" w:rsidRDefault="0058504A" w:rsidP="0058504A">
      <w:pPr>
        <w:pStyle w:val="NormalWeb"/>
        <w:rPr>
          <w:rFonts w:ascii="Helvetica Neue" w:hAnsi="Helvetica Neue"/>
          <w:sz w:val="28"/>
          <w:szCs w:val="28"/>
        </w:rPr>
      </w:pPr>
      <w:hyperlink r:id="rId81" w:history="1">
        <w:r w:rsidRPr="0058504A">
          <w:rPr>
            <w:rStyle w:val="Hyperlink"/>
            <w:rFonts w:ascii="Helvetica Neue" w:hAnsi="Helvetica Neue"/>
            <w:sz w:val="28"/>
            <w:szCs w:val="28"/>
          </w:rPr>
          <w:t xml:space="preserve">Costello, E., Holland, J. and </w:t>
        </w:r>
        <w:proofErr w:type="spellStart"/>
        <w:r w:rsidRPr="0058504A">
          <w:rPr>
            <w:rStyle w:val="Hyperlink"/>
            <w:rFonts w:ascii="Helvetica Neue" w:hAnsi="Helvetica Neue"/>
            <w:sz w:val="28"/>
            <w:szCs w:val="28"/>
          </w:rPr>
          <w:t>Kirwan</w:t>
        </w:r>
        <w:proofErr w:type="spellEnd"/>
        <w:r w:rsidRPr="0058504A">
          <w:rPr>
            <w:rStyle w:val="Hyperlink"/>
            <w:rFonts w:ascii="Helvetica Neue" w:hAnsi="Helvetica Neue"/>
            <w:sz w:val="28"/>
            <w:szCs w:val="28"/>
          </w:rPr>
          <w:t>, C., 2018. The future of online testing and assessment: question quality in MOOCs. </w:t>
        </w:r>
        <w:r w:rsidRPr="0058504A">
          <w:rPr>
            <w:rStyle w:val="Hyperlink"/>
            <w:rFonts w:ascii="Helvetica Neue" w:hAnsi="Helvetica Neue"/>
            <w:i/>
            <w:iCs/>
            <w:sz w:val="28"/>
            <w:szCs w:val="28"/>
          </w:rPr>
          <w:t>International Journal of Educational Technology in Higher Education</w:t>
        </w:r>
        <w:r w:rsidRPr="0058504A">
          <w:rPr>
            <w:rStyle w:val="Hyperlink"/>
            <w:rFonts w:ascii="Helvetica Neue" w:hAnsi="Helvetica Neue"/>
            <w:sz w:val="28"/>
            <w:szCs w:val="28"/>
          </w:rPr>
          <w:t>, </w:t>
        </w:r>
        <w:r w:rsidRPr="0058504A">
          <w:rPr>
            <w:rStyle w:val="Hyperlink"/>
            <w:rFonts w:ascii="Helvetica Neue" w:hAnsi="Helvetica Neue"/>
            <w:i/>
            <w:iCs/>
            <w:sz w:val="28"/>
            <w:szCs w:val="28"/>
          </w:rPr>
          <w:t>15</w:t>
        </w:r>
        <w:r w:rsidRPr="0058504A">
          <w:rPr>
            <w:rStyle w:val="Hyperlink"/>
            <w:rFonts w:ascii="Helvetica Neue" w:hAnsi="Helvetica Neue"/>
            <w:sz w:val="28"/>
            <w:szCs w:val="28"/>
          </w:rPr>
          <w:t>(1), p.42.</w:t>
        </w:r>
      </w:hyperlink>
      <w:bookmarkStart w:id="0" w:name="_GoBack"/>
      <w:bookmarkEnd w:id="0"/>
    </w:p>
    <w:p w:rsidR="0058504A" w:rsidRDefault="0058504A" w:rsidP="005300BE">
      <w:pPr>
        <w:ind w:left="-709"/>
      </w:pPr>
    </w:p>
    <w:sectPr w:rsidR="0058504A" w:rsidSect="00947295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BE"/>
    <w:rsid w:val="001678D8"/>
    <w:rsid w:val="003F2550"/>
    <w:rsid w:val="005300BE"/>
    <w:rsid w:val="0053045D"/>
    <w:rsid w:val="0058504A"/>
    <w:rsid w:val="006A535D"/>
    <w:rsid w:val="00947295"/>
    <w:rsid w:val="009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E3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0BE"/>
    <w:rPr>
      <w:b/>
      <w:bCs/>
    </w:rPr>
  </w:style>
  <w:style w:type="character" w:customStyle="1" w:styleId="captionnumber">
    <w:name w:val="captionnumber"/>
    <w:basedOn w:val="DefaultParagraphFont"/>
    <w:rsid w:val="005300BE"/>
  </w:style>
  <w:style w:type="table" w:styleId="TableGrid">
    <w:name w:val="Table Grid"/>
    <w:basedOn w:val="TableNormal"/>
    <w:uiPriority w:val="59"/>
    <w:rsid w:val="0053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300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300B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5300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300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300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5300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850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0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0BE"/>
    <w:rPr>
      <w:b/>
      <w:bCs/>
    </w:rPr>
  </w:style>
  <w:style w:type="character" w:customStyle="1" w:styleId="captionnumber">
    <w:name w:val="captionnumber"/>
    <w:basedOn w:val="DefaultParagraphFont"/>
    <w:rsid w:val="005300BE"/>
  </w:style>
  <w:style w:type="table" w:styleId="TableGrid">
    <w:name w:val="Table Grid"/>
    <w:basedOn w:val="TableNormal"/>
    <w:uiPriority w:val="59"/>
    <w:rsid w:val="0053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5300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300BE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5300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300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300B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4">
    <w:name w:val="Light Grid Accent 4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">
    <w:name w:val="Light Grid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5300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5300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850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50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altechnologyjournal.springeropen.com/articles/10.1186/s41239-018-0124-z" TargetMode="External"/><Relationship Id="rId14" Type="http://schemas.openxmlformats.org/officeDocument/2006/relationships/hyperlink" Target="https://educationaltechnologyjournal.springeropen.com/articles/10.1186/s41239-018-0124-z" TargetMode="External"/><Relationship Id="rId15" Type="http://schemas.openxmlformats.org/officeDocument/2006/relationships/hyperlink" Target="https://educationaltechnologyjournal.springeropen.com/articles/10.1186/s41239-018-0124-z" TargetMode="External"/><Relationship Id="rId16" Type="http://schemas.openxmlformats.org/officeDocument/2006/relationships/hyperlink" Target="https://educationaltechnologyjournal.springeropen.com/articles/10.1186/s41239-018-0124-z" TargetMode="External"/><Relationship Id="rId17" Type="http://schemas.openxmlformats.org/officeDocument/2006/relationships/hyperlink" Target="https://educationaltechnologyjournal.springeropen.com/articles/10.1186/s41239-018-0124-z" TargetMode="External"/><Relationship Id="rId18" Type="http://schemas.openxmlformats.org/officeDocument/2006/relationships/hyperlink" Target="https://educationaltechnologyjournal.springeropen.com/articles/10.1186/s41239-018-0124-z" TargetMode="External"/><Relationship Id="rId19" Type="http://schemas.openxmlformats.org/officeDocument/2006/relationships/hyperlink" Target="https://educationaltechnologyjournal.springeropen.com/articles/10.1186/s41239-018-0124-z" TargetMode="External"/><Relationship Id="rId63" Type="http://schemas.openxmlformats.org/officeDocument/2006/relationships/hyperlink" Target="https://educationaltechnologyjournal.springeropen.com/articles/10.1186/s41239-018-0124-z" TargetMode="External"/><Relationship Id="rId64" Type="http://schemas.openxmlformats.org/officeDocument/2006/relationships/hyperlink" Target="https://educationaltechnologyjournal.springeropen.com/articles/10.1186/s41239-018-0124-z" TargetMode="External"/><Relationship Id="rId65" Type="http://schemas.openxmlformats.org/officeDocument/2006/relationships/hyperlink" Target="https://educationaltechnologyjournal.springeropen.com/articles/10.1186/s41239-018-0124-z" TargetMode="External"/><Relationship Id="rId66" Type="http://schemas.openxmlformats.org/officeDocument/2006/relationships/hyperlink" Target="https://educationaltechnologyjournal.springeropen.com/articles/10.1186/s41239-018-0124-z" TargetMode="External"/><Relationship Id="rId67" Type="http://schemas.openxmlformats.org/officeDocument/2006/relationships/hyperlink" Target="https://educationaltechnologyjournal.springeropen.com/articles/10.1186/s41239-018-0124-z" TargetMode="External"/><Relationship Id="rId68" Type="http://schemas.openxmlformats.org/officeDocument/2006/relationships/hyperlink" Target="https://educationaltechnologyjournal.springeropen.com/articles/10.1186/s41239-018-0124-z" TargetMode="External"/><Relationship Id="rId69" Type="http://schemas.openxmlformats.org/officeDocument/2006/relationships/hyperlink" Target="https://educationaltechnologyjournal.springeropen.com/articles/10.1186/s41239-018-0124-z" TargetMode="External"/><Relationship Id="rId50" Type="http://schemas.openxmlformats.org/officeDocument/2006/relationships/hyperlink" Target="https://educationaltechnologyjournal.springeropen.com/articles/10.1186/s41239-018-0124-z" TargetMode="External"/><Relationship Id="rId51" Type="http://schemas.openxmlformats.org/officeDocument/2006/relationships/hyperlink" Target="https://educationaltechnologyjournal.springeropen.com/articles/10.1186/s41239-018-0124-z" TargetMode="External"/><Relationship Id="rId52" Type="http://schemas.openxmlformats.org/officeDocument/2006/relationships/hyperlink" Target="https://educationaltechnologyjournal.springeropen.com/articles/10.1186/s41239-018-0124-z" TargetMode="External"/><Relationship Id="rId53" Type="http://schemas.openxmlformats.org/officeDocument/2006/relationships/hyperlink" Target="https://educationaltechnologyjournal.springeropen.com/articles/10.1186/s41239-018-0124-z" TargetMode="External"/><Relationship Id="rId54" Type="http://schemas.openxmlformats.org/officeDocument/2006/relationships/hyperlink" Target="https://educationaltechnologyjournal.springeropen.com/articles/10.1186/s41239-018-0124-z" TargetMode="External"/><Relationship Id="rId55" Type="http://schemas.openxmlformats.org/officeDocument/2006/relationships/hyperlink" Target="https://educationaltechnologyjournal.springeropen.com/articles/10.1186/s41239-018-0124-z" TargetMode="External"/><Relationship Id="rId56" Type="http://schemas.openxmlformats.org/officeDocument/2006/relationships/hyperlink" Target="https://educationaltechnologyjournal.springeropen.com/articles/10.1186/s41239-018-0124-z" TargetMode="External"/><Relationship Id="rId57" Type="http://schemas.openxmlformats.org/officeDocument/2006/relationships/hyperlink" Target="https://educationaltechnologyjournal.springeropen.com/articles/10.1186/s41239-018-0124-z" TargetMode="External"/><Relationship Id="rId58" Type="http://schemas.openxmlformats.org/officeDocument/2006/relationships/hyperlink" Target="https://educationaltechnologyjournal.springeropen.com/articles/10.1186/s41239-018-0124-z" TargetMode="External"/><Relationship Id="rId59" Type="http://schemas.openxmlformats.org/officeDocument/2006/relationships/hyperlink" Target="https://educationaltechnologyjournal.springeropen.com/articles/10.1186/s41239-018-0124-z" TargetMode="External"/><Relationship Id="rId40" Type="http://schemas.openxmlformats.org/officeDocument/2006/relationships/hyperlink" Target="https://educationaltechnologyjournal.springeropen.com/articles/10.1186/s41239-018-0124-z" TargetMode="External"/><Relationship Id="rId41" Type="http://schemas.openxmlformats.org/officeDocument/2006/relationships/hyperlink" Target="https://educationaltechnologyjournal.springeropen.com/articles/10.1186/s41239-018-0124-z" TargetMode="External"/><Relationship Id="rId42" Type="http://schemas.openxmlformats.org/officeDocument/2006/relationships/hyperlink" Target="https://educationaltechnologyjournal.springeropen.com/articles/10.1186/s41239-018-0124-z" TargetMode="External"/><Relationship Id="rId43" Type="http://schemas.openxmlformats.org/officeDocument/2006/relationships/hyperlink" Target="https://educationaltechnologyjournal.springeropen.com/articles/10.1186/s41239-018-0124-z" TargetMode="External"/><Relationship Id="rId44" Type="http://schemas.openxmlformats.org/officeDocument/2006/relationships/hyperlink" Target="https://educationaltechnologyjournal.springeropen.com/articles/10.1186/s41239-018-0124-z" TargetMode="External"/><Relationship Id="rId45" Type="http://schemas.openxmlformats.org/officeDocument/2006/relationships/hyperlink" Target="https://educationaltechnologyjournal.springeropen.com/articles/10.1186/s41239-018-0124-z" TargetMode="External"/><Relationship Id="rId46" Type="http://schemas.openxmlformats.org/officeDocument/2006/relationships/hyperlink" Target="https://educationaltechnologyjournal.springeropen.com/articles/10.1186/s41239-018-0124-z" TargetMode="External"/><Relationship Id="rId47" Type="http://schemas.openxmlformats.org/officeDocument/2006/relationships/hyperlink" Target="https://educationaltechnologyjournal.springeropen.com/articles/10.1186/s41239-018-0124-z" TargetMode="External"/><Relationship Id="rId48" Type="http://schemas.openxmlformats.org/officeDocument/2006/relationships/hyperlink" Target="https://educationaltechnologyjournal.springeropen.com/articles/10.1186/s41239-018-0124-z" TargetMode="External"/><Relationship Id="rId49" Type="http://schemas.openxmlformats.org/officeDocument/2006/relationships/hyperlink" Target="https://educationaltechnologyjournal.springeropen.com/articles/10.1186/s41239-018-0124-z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altechnologyjournal.springeropen.com/articles/10.1186/s41239-018-0124-z" TargetMode="External"/><Relationship Id="rId7" Type="http://schemas.openxmlformats.org/officeDocument/2006/relationships/hyperlink" Target="https://educationaltechnologyjournal.springeropen.com/articles/10.1186/s41239-018-0124-z" TargetMode="External"/><Relationship Id="rId8" Type="http://schemas.openxmlformats.org/officeDocument/2006/relationships/hyperlink" Target="https://educationaltechnologyjournal.springeropen.com/articles/10.1186/s41239-018-0124-z" TargetMode="External"/><Relationship Id="rId9" Type="http://schemas.openxmlformats.org/officeDocument/2006/relationships/hyperlink" Target="https://educationaltechnologyjournal.springeropen.com/articles/10.1186/s41239-018-0124-z" TargetMode="External"/><Relationship Id="rId30" Type="http://schemas.openxmlformats.org/officeDocument/2006/relationships/hyperlink" Target="https://educationaltechnologyjournal.springeropen.com/articles/10.1186/s41239-018-0124-z" TargetMode="External"/><Relationship Id="rId31" Type="http://schemas.openxmlformats.org/officeDocument/2006/relationships/hyperlink" Target="https://educationaltechnologyjournal.springeropen.com/articles/10.1186/s41239-018-0124-z" TargetMode="External"/><Relationship Id="rId32" Type="http://schemas.openxmlformats.org/officeDocument/2006/relationships/hyperlink" Target="https://educationaltechnologyjournal.springeropen.com/articles/10.1186/s41239-018-0124-z" TargetMode="External"/><Relationship Id="rId33" Type="http://schemas.openxmlformats.org/officeDocument/2006/relationships/hyperlink" Target="https://educationaltechnologyjournal.springeropen.com/articles/10.1186/s41239-018-0124-z" TargetMode="External"/><Relationship Id="rId34" Type="http://schemas.openxmlformats.org/officeDocument/2006/relationships/hyperlink" Target="https://educationaltechnologyjournal.springeropen.com/articles/10.1186/s41239-018-0124-z" TargetMode="External"/><Relationship Id="rId35" Type="http://schemas.openxmlformats.org/officeDocument/2006/relationships/hyperlink" Target="https://educationaltechnologyjournal.springeropen.com/articles/10.1186/s41239-018-0124-z" TargetMode="External"/><Relationship Id="rId36" Type="http://schemas.openxmlformats.org/officeDocument/2006/relationships/hyperlink" Target="https://educationaltechnologyjournal.springeropen.com/articles/10.1186/s41239-018-0124-z" TargetMode="External"/><Relationship Id="rId37" Type="http://schemas.openxmlformats.org/officeDocument/2006/relationships/hyperlink" Target="https://educationaltechnologyjournal.springeropen.com/articles/10.1186/s41239-018-0124-z" TargetMode="External"/><Relationship Id="rId38" Type="http://schemas.openxmlformats.org/officeDocument/2006/relationships/hyperlink" Target="https://educationaltechnologyjournal.springeropen.com/articles/10.1186/s41239-018-0124-z" TargetMode="External"/><Relationship Id="rId39" Type="http://schemas.openxmlformats.org/officeDocument/2006/relationships/hyperlink" Target="https://educationaltechnologyjournal.springeropen.com/articles/10.1186/s41239-018-0124-z" TargetMode="External"/><Relationship Id="rId80" Type="http://schemas.openxmlformats.org/officeDocument/2006/relationships/hyperlink" Target="https://educationaltechnologyjournal.springeropen.com/articles/10.1186/s41239-018-0124-z" TargetMode="External"/><Relationship Id="rId81" Type="http://schemas.openxmlformats.org/officeDocument/2006/relationships/hyperlink" Target="https://educationaltechnologyjournal.springeropen.com/articles/10.1186/s41239-018-0124-z" TargetMode="External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hyperlink" Target="https://educationaltechnologyjournal.springeropen.com/articles/10.1186/s41239-018-0124-z" TargetMode="External"/><Relationship Id="rId71" Type="http://schemas.openxmlformats.org/officeDocument/2006/relationships/hyperlink" Target="https://educationaltechnologyjournal.springeropen.com/articles/10.1186/s41239-018-0124-z" TargetMode="External"/><Relationship Id="rId72" Type="http://schemas.openxmlformats.org/officeDocument/2006/relationships/hyperlink" Target="https://educationaltechnologyjournal.springeropen.com/articles/10.1186/s41239-018-0124-z" TargetMode="External"/><Relationship Id="rId20" Type="http://schemas.openxmlformats.org/officeDocument/2006/relationships/hyperlink" Target="https://educationaltechnologyjournal.springeropen.com/articles/10.1186/s41239-018-0124-z" TargetMode="External"/><Relationship Id="rId21" Type="http://schemas.openxmlformats.org/officeDocument/2006/relationships/hyperlink" Target="https://educationaltechnologyjournal.springeropen.com/articles/10.1186/s41239-018-0124-z" TargetMode="External"/><Relationship Id="rId22" Type="http://schemas.openxmlformats.org/officeDocument/2006/relationships/hyperlink" Target="https://educationaltechnologyjournal.springeropen.com/articles/10.1186/s41239-018-0124-z" TargetMode="External"/><Relationship Id="rId23" Type="http://schemas.openxmlformats.org/officeDocument/2006/relationships/hyperlink" Target="https://educationaltechnologyjournal.springeropen.com/articles/10.1186/s41239-018-0124-z" TargetMode="External"/><Relationship Id="rId24" Type="http://schemas.openxmlformats.org/officeDocument/2006/relationships/hyperlink" Target="https://educationaltechnologyjournal.springeropen.com/articles/10.1186/s41239-018-0124-z" TargetMode="External"/><Relationship Id="rId25" Type="http://schemas.openxmlformats.org/officeDocument/2006/relationships/hyperlink" Target="https://educationaltechnologyjournal.springeropen.com/articles/10.1186/s41239-018-0124-z" TargetMode="External"/><Relationship Id="rId26" Type="http://schemas.openxmlformats.org/officeDocument/2006/relationships/hyperlink" Target="https://educationaltechnologyjournal.springeropen.com/articles/10.1186/s41239-018-0124-z" TargetMode="External"/><Relationship Id="rId27" Type="http://schemas.openxmlformats.org/officeDocument/2006/relationships/hyperlink" Target="https://educationaltechnologyjournal.springeropen.com/articles/10.1186/s41239-018-0124-z" TargetMode="External"/><Relationship Id="rId28" Type="http://schemas.openxmlformats.org/officeDocument/2006/relationships/hyperlink" Target="https://educationaltechnologyjournal.springeropen.com/articles/10.1186/s41239-018-0124-z" TargetMode="External"/><Relationship Id="rId29" Type="http://schemas.openxmlformats.org/officeDocument/2006/relationships/hyperlink" Target="https://educationaltechnologyjournal.springeropen.com/articles/10.1186/s41239-018-0124-z" TargetMode="External"/><Relationship Id="rId73" Type="http://schemas.openxmlformats.org/officeDocument/2006/relationships/hyperlink" Target="https://educationaltechnologyjournal.springeropen.com/articles/10.1186/s41239-018-0124-z" TargetMode="External"/><Relationship Id="rId74" Type="http://schemas.openxmlformats.org/officeDocument/2006/relationships/hyperlink" Target="https://educationaltechnologyjournal.springeropen.com/articles/10.1186/s41239-018-0124-z" TargetMode="External"/><Relationship Id="rId75" Type="http://schemas.openxmlformats.org/officeDocument/2006/relationships/hyperlink" Target="https://educationaltechnologyjournal.springeropen.com/articles/10.1186/s41239-018-0124-z" TargetMode="External"/><Relationship Id="rId76" Type="http://schemas.openxmlformats.org/officeDocument/2006/relationships/hyperlink" Target="https://educationaltechnologyjournal.springeropen.com/articles/10.1186/s41239-018-0124-z" TargetMode="External"/><Relationship Id="rId77" Type="http://schemas.openxmlformats.org/officeDocument/2006/relationships/hyperlink" Target="https://educationaltechnologyjournal.springeropen.com/articles/10.1186/s41239-018-0124-z" TargetMode="External"/><Relationship Id="rId78" Type="http://schemas.openxmlformats.org/officeDocument/2006/relationships/hyperlink" Target="https://educationaltechnologyjournal.springeropen.com/articles/10.1186/s41239-018-0124-z" TargetMode="External"/><Relationship Id="rId79" Type="http://schemas.openxmlformats.org/officeDocument/2006/relationships/hyperlink" Target="https://educationaltechnologyjournal.springeropen.com/articles/10.1186/s41239-018-0124-z" TargetMode="External"/><Relationship Id="rId60" Type="http://schemas.openxmlformats.org/officeDocument/2006/relationships/hyperlink" Target="https://educationaltechnologyjournal.springeropen.com/articles/10.1186/s41239-018-0124-z" TargetMode="External"/><Relationship Id="rId61" Type="http://schemas.openxmlformats.org/officeDocument/2006/relationships/hyperlink" Target="https://educationaltechnologyjournal.springeropen.com/articles/10.1186/s41239-018-0124-z" TargetMode="External"/><Relationship Id="rId62" Type="http://schemas.openxmlformats.org/officeDocument/2006/relationships/hyperlink" Target="https://educationaltechnologyjournal.springeropen.com/articles/10.1186/s41239-018-0124-z" TargetMode="External"/><Relationship Id="rId10" Type="http://schemas.openxmlformats.org/officeDocument/2006/relationships/hyperlink" Target="https://educationaltechnologyjournal.springeropen.com/articles/10.1186/s41239-018-0124-z" TargetMode="External"/><Relationship Id="rId11" Type="http://schemas.openxmlformats.org/officeDocument/2006/relationships/hyperlink" Target="https://educationaltechnologyjournal.springeropen.com/articles/10.1186/s41239-018-0124-z" TargetMode="External"/><Relationship Id="rId12" Type="http://schemas.openxmlformats.org/officeDocument/2006/relationships/hyperlink" Target="https://educationaltechnologyjournal.springeropen.com/articles/10.1186/s41239-018-0124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06C3A7E-0033-D048-9573-E3CC1148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2279</Words>
  <Characters>12995</Characters>
  <Application>Microsoft Macintosh Word</Application>
  <DocSecurity>0</DocSecurity>
  <Lines>108</Lines>
  <Paragraphs>30</Paragraphs>
  <ScaleCrop>false</ScaleCrop>
  <Company>FutureLearn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Whitley</dc:creator>
  <cp:keywords/>
  <dc:description/>
  <cp:lastModifiedBy>Chris Whitley</cp:lastModifiedBy>
  <cp:revision>1</cp:revision>
  <dcterms:created xsi:type="dcterms:W3CDTF">2019-07-29T11:48:00Z</dcterms:created>
  <dcterms:modified xsi:type="dcterms:W3CDTF">2019-07-29T13:41:00Z</dcterms:modified>
</cp:coreProperties>
</file>